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ED" w:rsidRDefault="00B406ED">
      <w:pPr>
        <w:rPr>
          <w:sz w:val="24"/>
          <w:szCs w:val="24"/>
        </w:rPr>
      </w:pPr>
      <w:r>
        <w:rPr>
          <w:sz w:val="24"/>
          <w:szCs w:val="24"/>
        </w:rPr>
        <w:t xml:space="preserve">PRORAČUNSKI KORISNIK: </w:t>
      </w:r>
      <w:r w:rsidR="00A928BD" w:rsidRPr="00C705B1">
        <w:rPr>
          <w:sz w:val="24"/>
          <w:szCs w:val="24"/>
        </w:rPr>
        <w:t>Osnovna škola Klana</w:t>
      </w:r>
    </w:p>
    <w:p w:rsidR="00B406ED" w:rsidRDefault="00B406ED">
      <w:pPr>
        <w:rPr>
          <w:sz w:val="24"/>
          <w:szCs w:val="24"/>
        </w:rPr>
      </w:pPr>
      <w:r>
        <w:rPr>
          <w:sz w:val="24"/>
          <w:szCs w:val="24"/>
        </w:rPr>
        <w:t>RKP: 11308</w:t>
      </w:r>
    </w:p>
    <w:p w:rsidR="00B406ED" w:rsidRDefault="00B406ED">
      <w:pPr>
        <w:rPr>
          <w:sz w:val="24"/>
          <w:szCs w:val="24"/>
        </w:rPr>
      </w:pPr>
      <w:r>
        <w:rPr>
          <w:sz w:val="24"/>
          <w:szCs w:val="24"/>
        </w:rPr>
        <w:t>OIB: 28519941534</w:t>
      </w:r>
    </w:p>
    <w:p w:rsidR="00B406ED" w:rsidRDefault="00B406ED">
      <w:pPr>
        <w:rPr>
          <w:sz w:val="24"/>
          <w:szCs w:val="24"/>
        </w:rPr>
      </w:pPr>
      <w:r>
        <w:rPr>
          <w:sz w:val="24"/>
          <w:szCs w:val="24"/>
        </w:rPr>
        <w:t xml:space="preserve">SJEDIŠTE ŠKOLE: </w:t>
      </w:r>
      <w:proofErr w:type="spellStart"/>
      <w:r>
        <w:rPr>
          <w:sz w:val="24"/>
          <w:szCs w:val="24"/>
        </w:rPr>
        <w:t>Zatrep</w:t>
      </w:r>
      <w:proofErr w:type="spellEnd"/>
      <w:r>
        <w:rPr>
          <w:sz w:val="24"/>
          <w:szCs w:val="24"/>
        </w:rPr>
        <w:t xml:space="preserve"> 5, 51217 Klana</w:t>
      </w:r>
    </w:p>
    <w:p w:rsidR="00B406ED" w:rsidRDefault="00B406ED">
      <w:pPr>
        <w:rPr>
          <w:sz w:val="24"/>
          <w:szCs w:val="24"/>
        </w:rPr>
      </w:pPr>
      <w:r>
        <w:rPr>
          <w:sz w:val="24"/>
          <w:szCs w:val="24"/>
        </w:rPr>
        <w:t>ADRESA E POŠTE: skola@os-klana.skole.hr</w:t>
      </w:r>
    </w:p>
    <w:p w:rsidR="00B406ED" w:rsidRDefault="00B406ED">
      <w:pPr>
        <w:rPr>
          <w:sz w:val="24"/>
          <w:szCs w:val="24"/>
        </w:rPr>
      </w:pPr>
    </w:p>
    <w:p w:rsidR="00A928BD" w:rsidRPr="00C705B1" w:rsidRDefault="00A928BD">
      <w:pPr>
        <w:rPr>
          <w:sz w:val="24"/>
          <w:szCs w:val="24"/>
        </w:rPr>
      </w:pPr>
      <w:r w:rsidRPr="00C705B1">
        <w:rPr>
          <w:sz w:val="24"/>
          <w:szCs w:val="24"/>
        </w:rPr>
        <w:tab/>
      </w:r>
    </w:p>
    <w:p w:rsidR="00A928BD" w:rsidRPr="00C705B1" w:rsidRDefault="00A928BD">
      <w:pPr>
        <w:rPr>
          <w:sz w:val="24"/>
          <w:szCs w:val="24"/>
        </w:rPr>
      </w:pPr>
    </w:p>
    <w:p w:rsidR="00A928BD" w:rsidRPr="00C705B1" w:rsidRDefault="00A928BD">
      <w:pPr>
        <w:rPr>
          <w:sz w:val="24"/>
          <w:szCs w:val="24"/>
        </w:rPr>
      </w:pP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r>
      <w:r w:rsidRPr="00C705B1">
        <w:rPr>
          <w:sz w:val="24"/>
          <w:szCs w:val="24"/>
        </w:rPr>
        <w:tab/>
        <w:t>Primorko goranska županija</w:t>
      </w:r>
    </w:p>
    <w:p w:rsidR="00A928BD" w:rsidRPr="00C705B1" w:rsidRDefault="00C705B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w:t>
      </w:r>
      <w:r w:rsidR="00A928BD" w:rsidRPr="00C705B1">
        <w:rPr>
          <w:sz w:val="24"/>
          <w:szCs w:val="24"/>
        </w:rPr>
        <w:t>pravni odjel za odgoj i obrazovanje</w:t>
      </w:r>
    </w:p>
    <w:p w:rsidR="00A928BD" w:rsidRDefault="00A928BD"/>
    <w:p w:rsidR="00A928BD" w:rsidRDefault="00A928BD"/>
    <w:p w:rsidR="001215B0" w:rsidRPr="00B65E97" w:rsidRDefault="00A928BD">
      <w:pPr>
        <w:rPr>
          <w:b/>
          <w:sz w:val="24"/>
          <w:szCs w:val="24"/>
        </w:rPr>
      </w:pPr>
      <w:r w:rsidRPr="00B65E97">
        <w:rPr>
          <w:sz w:val="24"/>
          <w:szCs w:val="24"/>
        </w:rPr>
        <w:t xml:space="preserve">PREDMET: </w:t>
      </w:r>
      <w:r w:rsidRPr="00B65E97">
        <w:rPr>
          <w:b/>
          <w:sz w:val="24"/>
          <w:szCs w:val="24"/>
        </w:rPr>
        <w:t>Bilješke uz godišnje izvršenje financijskog plana škole za 202</w:t>
      </w:r>
      <w:r w:rsidR="005A4664">
        <w:rPr>
          <w:b/>
          <w:sz w:val="24"/>
          <w:szCs w:val="24"/>
        </w:rPr>
        <w:t>5</w:t>
      </w:r>
      <w:r w:rsidRPr="00B65E97">
        <w:rPr>
          <w:b/>
          <w:sz w:val="24"/>
          <w:szCs w:val="24"/>
        </w:rPr>
        <w:t>. godinu</w:t>
      </w:r>
    </w:p>
    <w:p w:rsidR="00824AE4" w:rsidRDefault="00824AE4"/>
    <w:p w:rsidR="005507FB" w:rsidRDefault="00824AE4" w:rsidP="00824AE4">
      <w:pPr>
        <w:jc w:val="both"/>
        <w:rPr>
          <w:sz w:val="24"/>
          <w:szCs w:val="24"/>
        </w:rPr>
      </w:pPr>
      <w:r w:rsidRPr="00F97490">
        <w:rPr>
          <w:sz w:val="24"/>
          <w:szCs w:val="24"/>
        </w:rPr>
        <w:t>Na temelju Zakona o proračunu (Narodne novi</w:t>
      </w:r>
      <w:r w:rsidR="00DD7651">
        <w:rPr>
          <w:sz w:val="24"/>
          <w:szCs w:val="24"/>
        </w:rPr>
        <w:t>ne 144/2021) i Pravilnika o polu</w:t>
      </w:r>
      <w:r w:rsidRPr="00F97490">
        <w:rPr>
          <w:sz w:val="24"/>
          <w:szCs w:val="24"/>
        </w:rPr>
        <w:t>godišnjem i godišnjem izvještaju o izvršenju proračuna (Narodne novine 24/13, 102/17, 1/20, 147/20), Osnovne škole su dužne izraditi polugodišnji i godišnji izvještaj o izvršenju financijskog plana proračunskih korisnika. Ujedno godišnji izvještaji o</w:t>
      </w:r>
      <w:r w:rsidR="00DD7651">
        <w:rPr>
          <w:sz w:val="24"/>
          <w:szCs w:val="24"/>
        </w:rPr>
        <w:t xml:space="preserve"> izvršenju financijskog plana odnosno</w:t>
      </w:r>
      <w:r w:rsidRPr="00F97490">
        <w:rPr>
          <w:sz w:val="24"/>
          <w:szCs w:val="24"/>
        </w:rPr>
        <w:t xml:space="preserve">, proračuna sadrže i slijedeće </w:t>
      </w:r>
      <w:r w:rsidR="005A0CAC">
        <w:rPr>
          <w:sz w:val="24"/>
          <w:szCs w:val="24"/>
        </w:rPr>
        <w:t xml:space="preserve">posebne </w:t>
      </w:r>
      <w:r w:rsidRPr="00F97490">
        <w:rPr>
          <w:sz w:val="24"/>
          <w:szCs w:val="24"/>
        </w:rPr>
        <w:t>izvještaje</w:t>
      </w:r>
      <w:r w:rsidR="005A0CAC">
        <w:rPr>
          <w:sz w:val="24"/>
          <w:szCs w:val="24"/>
        </w:rPr>
        <w:t xml:space="preserve"> iz članka 46. do 51. Pravilnika u godišnjem izvještaju o izvršenju financijskog plana proračunskog korisnika</w:t>
      </w:r>
      <w:r w:rsidRPr="00F97490">
        <w:rPr>
          <w:sz w:val="24"/>
          <w:szCs w:val="24"/>
        </w:rPr>
        <w:t xml:space="preserve">: </w:t>
      </w:r>
    </w:p>
    <w:p w:rsidR="005507FB" w:rsidRDefault="00824AE4" w:rsidP="00824AE4">
      <w:pPr>
        <w:jc w:val="both"/>
        <w:rPr>
          <w:sz w:val="24"/>
          <w:szCs w:val="24"/>
        </w:rPr>
      </w:pPr>
      <w:r w:rsidRPr="00F97490">
        <w:rPr>
          <w:sz w:val="24"/>
          <w:szCs w:val="24"/>
        </w:rPr>
        <w:t xml:space="preserve">- </w:t>
      </w:r>
      <w:r w:rsidRPr="005507FB">
        <w:rPr>
          <w:b/>
          <w:sz w:val="24"/>
          <w:szCs w:val="24"/>
        </w:rPr>
        <w:t>Izvještaj o zaduživanju na domaćem i stranom tržištu novca i kapitala</w:t>
      </w:r>
      <w:r w:rsidRPr="00F97490">
        <w:rPr>
          <w:sz w:val="24"/>
          <w:szCs w:val="24"/>
        </w:rPr>
        <w:t xml:space="preserve"> (Osnovna škola Klana </w:t>
      </w:r>
      <w:r w:rsidR="005A0CAC">
        <w:rPr>
          <w:sz w:val="24"/>
          <w:szCs w:val="24"/>
        </w:rPr>
        <w:t>se u 2025. godini nije zaduživala na domaćem i stranom tržištu novca i kapitala te nemamo zaduživanja po dugoročnim kreditima i zajmovima</w:t>
      </w:r>
      <w:r w:rsidRPr="00F97490">
        <w:rPr>
          <w:sz w:val="24"/>
          <w:szCs w:val="24"/>
        </w:rPr>
        <w:t xml:space="preserve">), </w:t>
      </w:r>
    </w:p>
    <w:p w:rsidR="00824AE4" w:rsidRDefault="00824AE4" w:rsidP="00824AE4">
      <w:pPr>
        <w:jc w:val="both"/>
        <w:rPr>
          <w:sz w:val="24"/>
          <w:szCs w:val="24"/>
        </w:rPr>
      </w:pPr>
      <w:r w:rsidRPr="00F97490">
        <w:rPr>
          <w:sz w:val="24"/>
          <w:szCs w:val="24"/>
        </w:rPr>
        <w:t xml:space="preserve">- </w:t>
      </w:r>
      <w:r w:rsidRPr="005507FB">
        <w:rPr>
          <w:b/>
          <w:sz w:val="24"/>
          <w:szCs w:val="24"/>
        </w:rPr>
        <w:t>Izvještaj o danim državnim jamstvima i izdacima po državnim jamstvima</w:t>
      </w:r>
      <w:r w:rsidRPr="00F97490">
        <w:rPr>
          <w:sz w:val="24"/>
          <w:szCs w:val="24"/>
        </w:rPr>
        <w:t xml:space="preserve"> (Osnovna škola Klana nije koristila državna jamstva, te u svom poslovanju nema zabilježene izdatke po državnim jamstvima). </w:t>
      </w:r>
    </w:p>
    <w:p w:rsidR="0003629C" w:rsidRDefault="0003629C" w:rsidP="00824AE4">
      <w:pPr>
        <w:jc w:val="both"/>
        <w:rPr>
          <w:sz w:val="24"/>
          <w:szCs w:val="24"/>
        </w:rPr>
      </w:pPr>
      <w:r>
        <w:rPr>
          <w:sz w:val="24"/>
          <w:szCs w:val="24"/>
        </w:rPr>
        <w:t xml:space="preserve">- </w:t>
      </w:r>
      <w:r w:rsidRPr="0003629C">
        <w:rPr>
          <w:b/>
          <w:sz w:val="24"/>
          <w:szCs w:val="24"/>
        </w:rPr>
        <w:t>Izvještaj o stanju potencijalnih obveza po osnovi sudskih sporova proračunskog korisnika na kraju proračunske godine</w:t>
      </w:r>
      <w:r>
        <w:rPr>
          <w:sz w:val="24"/>
          <w:szCs w:val="24"/>
        </w:rPr>
        <w:t xml:space="preserve"> – Osnovna škola Klana nema navedenih potencijalnih obveza.</w:t>
      </w:r>
    </w:p>
    <w:p w:rsidR="008D17ED" w:rsidRDefault="008D17ED" w:rsidP="00824AE4">
      <w:pPr>
        <w:jc w:val="both"/>
        <w:rPr>
          <w:b/>
          <w:sz w:val="24"/>
          <w:szCs w:val="24"/>
        </w:rPr>
      </w:pPr>
      <w:r w:rsidRPr="008D17ED">
        <w:rPr>
          <w:b/>
          <w:sz w:val="24"/>
          <w:szCs w:val="24"/>
        </w:rPr>
        <w:t>- Izvještaj o korištenju sredstava fondova Europske unije</w:t>
      </w:r>
    </w:p>
    <w:p w:rsidR="008D17ED" w:rsidRDefault="00CE11A0" w:rsidP="00824AE4">
      <w:pPr>
        <w:jc w:val="both"/>
        <w:rPr>
          <w:sz w:val="24"/>
          <w:szCs w:val="24"/>
        </w:rPr>
      </w:pPr>
      <w:r w:rsidRPr="00CE11A0">
        <w:rPr>
          <w:sz w:val="24"/>
          <w:szCs w:val="24"/>
        </w:rPr>
        <w:t>Osnovna škola Klana ne koristi sredstva fondova Europske unije.</w:t>
      </w:r>
    </w:p>
    <w:p w:rsidR="00CE11A0" w:rsidRDefault="00CE11A0" w:rsidP="00824AE4">
      <w:pPr>
        <w:jc w:val="both"/>
        <w:rPr>
          <w:sz w:val="24"/>
          <w:szCs w:val="24"/>
        </w:rPr>
      </w:pPr>
    </w:p>
    <w:p w:rsidR="00CE11A0" w:rsidRDefault="00CE11A0" w:rsidP="00824AE4">
      <w:pPr>
        <w:jc w:val="both"/>
        <w:rPr>
          <w:sz w:val="24"/>
          <w:szCs w:val="24"/>
        </w:rPr>
      </w:pPr>
    </w:p>
    <w:p w:rsidR="00CE11A0" w:rsidRPr="00CE11A0" w:rsidRDefault="00CE11A0" w:rsidP="00824AE4">
      <w:pPr>
        <w:jc w:val="both"/>
        <w:rPr>
          <w:sz w:val="24"/>
          <w:szCs w:val="24"/>
        </w:rPr>
      </w:pPr>
    </w:p>
    <w:p w:rsidR="008D17ED" w:rsidRDefault="008D17ED" w:rsidP="008D17ED">
      <w:pPr>
        <w:pStyle w:val="Odlomakpopisa"/>
        <w:numPr>
          <w:ilvl w:val="0"/>
          <w:numId w:val="2"/>
        </w:numPr>
        <w:jc w:val="both"/>
        <w:rPr>
          <w:b/>
          <w:sz w:val="24"/>
          <w:szCs w:val="24"/>
        </w:rPr>
      </w:pPr>
      <w:bookmarkStart w:id="0" w:name="_GoBack"/>
      <w:bookmarkEnd w:id="0"/>
      <w:r>
        <w:rPr>
          <w:b/>
          <w:sz w:val="24"/>
          <w:szCs w:val="24"/>
        </w:rPr>
        <w:lastRenderedPageBreak/>
        <w:t>Izvještaj o stanju potraživanja i dospjelih obveza</w:t>
      </w:r>
    </w:p>
    <w:p w:rsidR="008D17ED" w:rsidRDefault="008D17ED" w:rsidP="008D17ED">
      <w:pPr>
        <w:jc w:val="both"/>
        <w:rPr>
          <w:sz w:val="24"/>
          <w:szCs w:val="24"/>
        </w:rPr>
      </w:pPr>
      <w:r w:rsidRPr="008D17ED">
        <w:rPr>
          <w:sz w:val="24"/>
          <w:szCs w:val="24"/>
        </w:rPr>
        <w:t>Stanje nenaplaćenih potraživanja na kraju proračunske godine</w:t>
      </w:r>
      <w:r>
        <w:rPr>
          <w:sz w:val="24"/>
          <w:szCs w:val="24"/>
        </w:rPr>
        <w:t>:</w:t>
      </w:r>
    </w:p>
    <w:p w:rsidR="008D17ED" w:rsidRPr="008D17ED" w:rsidRDefault="008D17ED" w:rsidP="008D17ED">
      <w:pPr>
        <w:jc w:val="both"/>
        <w:rPr>
          <w:sz w:val="24"/>
          <w:szCs w:val="24"/>
        </w:rPr>
      </w:pPr>
      <w:r>
        <w:rPr>
          <w:sz w:val="24"/>
          <w:szCs w:val="24"/>
        </w:rPr>
        <w:t xml:space="preserve">Nedospjela potraživanja </w:t>
      </w:r>
    </w:p>
    <w:tbl>
      <w:tblPr>
        <w:tblStyle w:val="Reetkatablice"/>
        <w:tblW w:w="0" w:type="auto"/>
        <w:tblLook w:val="04A0" w:firstRow="1" w:lastRow="0" w:firstColumn="1" w:lastColumn="0" w:noHBand="0" w:noVBand="1"/>
      </w:tblPr>
      <w:tblGrid>
        <w:gridCol w:w="3020"/>
        <w:gridCol w:w="3021"/>
        <w:gridCol w:w="3021"/>
      </w:tblGrid>
      <w:tr w:rsidR="002E7031" w:rsidTr="002E7031">
        <w:tc>
          <w:tcPr>
            <w:tcW w:w="3020" w:type="dxa"/>
          </w:tcPr>
          <w:p w:rsidR="002E7031" w:rsidRDefault="002E7031" w:rsidP="00824AE4">
            <w:pPr>
              <w:jc w:val="both"/>
              <w:rPr>
                <w:sz w:val="24"/>
                <w:szCs w:val="24"/>
              </w:rPr>
            </w:pPr>
            <w:r>
              <w:rPr>
                <w:sz w:val="24"/>
                <w:szCs w:val="24"/>
              </w:rPr>
              <w:t>POTRAŽIVANJA na dan 31.12.2025.</w:t>
            </w:r>
          </w:p>
        </w:tc>
        <w:tc>
          <w:tcPr>
            <w:tcW w:w="3021" w:type="dxa"/>
          </w:tcPr>
          <w:p w:rsidR="002E7031" w:rsidRDefault="002E7031" w:rsidP="00824AE4">
            <w:pPr>
              <w:jc w:val="both"/>
              <w:rPr>
                <w:sz w:val="24"/>
                <w:szCs w:val="24"/>
              </w:rPr>
            </w:pPr>
            <w:r>
              <w:rPr>
                <w:sz w:val="24"/>
                <w:szCs w:val="24"/>
              </w:rPr>
              <w:t>Nedospjela potraživanja</w:t>
            </w:r>
          </w:p>
        </w:tc>
        <w:tc>
          <w:tcPr>
            <w:tcW w:w="3021" w:type="dxa"/>
          </w:tcPr>
          <w:p w:rsidR="002E7031" w:rsidRDefault="002E7031" w:rsidP="00824AE4">
            <w:pPr>
              <w:jc w:val="both"/>
              <w:rPr>
                <w:sz w:val="24"/>
                <w:szCs w:val="24"/>
              </w:rPr>
            </w:pPr>
            <w:r>
              <w:rPr>
                <w:sz w:val="24"/>
                <w:szCs w:val="24"/>
              </w:rPr>
              <w:t>Dospjela potraživanja</w:t>
            </w:r>
          </w:p>
        </w:tc>
      </w:tr>
      <w:tr w:rsidR="002E7031" w:rsidTr="002E7031">
        <w:tc>
          <w:tcPr>
            <w:tcW w:w="3020" w:type="dxa"/>
          </w:tcPr>
          <w:p w:rsidR="002E7031" w:rsidRDefault="002E7031" w:rsidP="00824AE4">
            <w:pPr>
              <w:jc w:val="both"/>
              <w:rPr>
                <w:sz w:val="24"/>
                <w:szCs w:val="24"/>
              </w:rPr>
            </w:pPr>
            <w:r>
              <w:rPr>
                <w:sz w:val="24"/>
                <w:szCs w:val="24"/>
              </w:rPr>
              <w:t>UKUPNO:</w:t>
            </w:r>
          </w:p>
        </w:tc>
        <w:tc>
          <w:tcPr>
            <w:tcW w:w="3021" w:type="dxa"/>
          </w:tcPr>
          <w:p w:rsidR="002E7031" w:rsidRDefault="00372089" w:rsidP="00824AE4">
            <w:pPr>
              <w:jc w:val="both"/>
              <w:rPr>
                <w:sz w:val="24"/>
                <w:szCs w:val="24"/>
              </w:rPr>
            </w:pPr>
            <w:r>
              <w:rPr>
                <w:sz w:val="24"/>
                <w:szCs w:val="24"/>
              </w:rPr>
              <w:t>61.603,38</w:t>
            </w:r>
          </w:p>
        </w:tc>
        <w:tc>
          <w:tcPr>
            <w:tcW w:w="3021" w:type="dxa"/>
          </w:tcPr>
          <w:p w:rsidR="002E7031" w:rsidRDefault="00372089" w:rsidP="00824AE4">
            <w:pPr>
              <w:jc w:val="both"/>
              <w:rPr>
                <w:sz w:val="24"/>
                <w:szCs w:val="24"/>
              </w:rPr>
            </w:pPr>
            <w:r>
              <w:rPr>
                <w:sz w:val="24"/>
                <w:szCs w:val="24"/>
              </w:rPr>
              <w:t>0,00</w:t>
            </w:r>
          </w:p>
        </w:tc>
      </w:tr>
    </w:tbl>
    <w:p w:rsidR="00F97490" w:rsidRDefault="00F97490" w:rsidP="00824AE4">
      <w:pPr>
        <w:jc w:val="both"/>
        <w:rPr>
          <w:sz w:val="24"/>
          <w:szCs w:val="24"/>
        </w:rPr>
      </w:pPr>
    </w:p>
    <w:p w:rsidR="00C4796A" w:rsidRDefault="00C4796A" w:rsidP="00824AE4">
      <w:pPr>
        <w:jc w:val="both"/>
        <w:rPr>
          <w:sz w:val="24"/>
          <w:szCs w:val="24"/>
        </w:rPr>
      </w:pPr>
      <w:r>
        <w:rPr>
          <w:sz w:val="24"/>
          <w:szCs w:val="24"/>
        </w:rPr>
        <w:t>Nedospjela potraživanja odnose se na plaće zaposlenika škole za mjesec prosinac 2025. godine.</w:t>
      </w:r>
    </w:p>
    <w:p w:rsidR="00104EF3" w:rsidRDefault="00104EF3" w:rsidP="00824AE4">
      <w:pPr>
        <w:jc w:val="both"/>
        <w:rPr>
          <w:sz w:val="24"/>
          <w:szCs w:val="24"/>
        </w:rPr>
      </w:pPr>
    </w:p>
    <w:p w:rsidR="00104EF3" w:rsidRDefault="00104EF3" w:rsidP="00824AE4">
      <w:pPr>
        <w:jc w:val="both"/>
        <w:rPr>
          <w:sz w:val="24"/>
          <w:szCs w:val="24"/>
        </w:rPr>
      </w:pPr>
      <w:r>
        <w:rPr>
          <w:sz w:val="24"/>
          <w:szCs w:val="24"/>
        </w:rPr>
        <w:t xml:space="preserve">Stanje nenaplaćenih obveza na kraju proračunske godine: </w:t>
      </w:r>
      <w:r w:rsidR="00CC1527">
        <w:rPr>
          <w:sz w:val="24"/>
          <w:szCs w:val="24"/>
        </w:rPr>
        <w:t>71.919,24</w:t>
      </w:r>
    </w:p>
    <w:p w:rsidR="00104EF3" w:rsidRDefault="00104EF3" w:rsidP="00824AE4">
      <w:pPr>
        <w:jc w:val="both"/>
        <w:rPr>
          <w:sz w:val="24"/>
          <w:szCs w:val="24"/>
        </w:rPr>
      </w:pPr>
      <w:r>
        <w:rPr>
          <w:sz w:val="24"/>
          <w:szCs w:val="24"/>
        </w:rPr>
        <w:t>Stanje nedospjelih obveza na kraju proračunske godine:</w:t>
      </w:r>
      <w:r w:rsidR="00CC1527">
        <w:rPr>
          <w:sz w:val="24"/>
          <w:szCs w:val="24"/>
        </w:rPr>
        <w:t xml:space="preserve"> 68.644,65</w:t>
      </w:r>
    </w:p>
    <w:p w:rsidR="00104EF3" w:rsidRDefault="00104EF3" w:rsidP="00824AE4">
      <w:pPr>
        <w:jc w:val="both"/>
        <w:rPr>
          <w:sz w:val="24"/>
          <w:szCs w:val="24"/>
        </w:rPr>
      </w:pPr>
      <w:r>
        <w:rPr>
          <w:sz w:val="24"/>
          <w:szCs w:val="24"/>
        </w:rPr>
        <w:t>Stanje dospjelih obveza na kraju proračunske godine:</w:t>
      </w:r>
      <w:r w:rsidR="00CC1527">
        <w:rPr>
          <w:sz w:val="24"/>
          <w:szCs w:val="24"/>
        </w:rPr>
        <w:t xml:space="preserve"> 3.274,59</w:t>
      </w:r>
    </w:p>
    <w:p w:rsidR="00104EF3" w:rsidRDefault="00104EF3" w:rsidP="00824AE4">
      <w:pPr>
        <w:jc w:val="both"/>
        <w:rPr>
          <w:sz w:val="24"/>
          <w:szCs w:val="24"/>
        </w:rPr>
      </w:pPr>
      <w:r>
        <w:rPr>
          <w:sz w:val="24"/>
          <w:szCs w:val="24"/>
        </w:rPr>
        <w:t xml:space="preserve">Dospjele obveze odnose se na račune za </w:t>
      </w:r>
      <w:r w:rsidR="00DF0A38">
        <w:rPr>
          <w:sz w:val="24"/>
          <w:szCs w:val="24"/>
        </w:rPr>
        <w:t>prehranu učenika za mjesec prosinac 2025. godine.</w:t>
      </w:r>
    </w:p>
    <w:p w:rsidR="00104EF3" w:rsidRDefault="00104EF3" w:rsidP="00824AE4">
      <w:pPr>
        <w:jc w:val="both"/>
        <w:rPr>
          <w:sz w:val="24"/>
          <w:szCs w:val="24"/>
        </w:rPr>
      </w:pPr>
    </w:p>
    <w:tbl>
      <w:tblPr>
        <w:tblStyle w:val="Reetkatablice"/>
        <w:tblW w:w="0" w:type="auto"/>
        <w:tblLook w:val="04A0" w:firstRow="1" w:lastRow="0" w:firstColumn="1" w:lastColumn="0" w:noHBand="0" w:noVBand="1"/>
      </w:tblPr>
      <w:tblGrid>
        <w:gridCol w:w="3020"/>
        <w:gridCol w:w="3021"/>
        <w:gridCol w:w="3021"/>
      </w:tblGrid>
      <w:tr w:rsidR="00104EF3" w:rsidTr="0077654C">
        <w:tc>
          <w:tcPr>
            <w:tcW w:w="3020" w:type="dxa"/>
          </w:tcPr>
          <w:p w:rsidR="00104EF3" w:rsidRDefault="00CC1527" w:rsidP="0077654C">
            <w:pPr>
              <w:jc w:val="both"/>
              <w:rPr>
                <w:sz w:val="24"/>
                <w:szCs w:val="24"/>
              </w:rPr>
            </w:pPr>
            <w:r>
              <w:rPr>
                <w:sz w:val="24"/>
                <w:szCs w:val="24"/>
              </w:rPr>
              <w:t>OBVEZE</w:t>
            </w:r>
            <w:r w:rsidR="00104EF3">
              <w:rPr>
                <w:sz w:val="24"/>
                <w:szCs w:val="24"/>
              </w:rPr>
              <w:t xml:space="preserve"> na dan 31.12.2025.</w:t>
            </w:r>
          </w:p>
        </w:tc>
        <w:tc>
          <w:tcPr>
            <w:tcW w:w="3021" w:type="dxa"/>
          </w:tcPr>
          <w:p w:rsidR="00104EF3" w:rsidRDefault="00CC1527" w:rsidP="0077654C">
            <w:pPr>
              <w:jc w:val="both"/>
              <w:rPr>
                <w:sz w:val="24"/>
                <w:szCs w:val="24"/>
              </w:rPr>
            </w:pPr>
            <w:r>
              <w:rPr>
                <w:sz w:val="24"/>
                <w:szCs w:val="24"/>
              </w:rPr>
              <w:t>Nedospjele obveze</w:t>
            </w:r>
          </w:p>
        </w:tc>
        <w:tc>
          <w:tcPr>
            <w:tcW w:w="3021" w:type="dxa"/>
          </w:tcPr>
          <w:p w:rsidR="00104EF3" w:rsidRDefault="00CC1527" w:rsidP="0077654C">
            <w:pPr>
              <w:jc w:val="both"/>
              <w:rPr>
                <w:sz w:val="24"/>
                <w:szCs w:val="24"/>
              </w:rPr>
            </w:pPr>
            <w:r>
              <w:rPr>
                <w:sz w:val="24"/>
                <w:szCs w:val="24"/>
              </w:rPr>
              <w:t>Dospjele obveze</w:t>
            </w:r>
          </w:p>
        </w:tc>
      </w:tr>
      <w:tr w:rsidR="00104EF3" w:rsidTr="0077654C">
        <w:tc>
          <w:tcPr>
            <w:tcW w:w="3020" w:type="dxa"/>
          </w:tcPr>
          <w:p w:rsidR="00104EF3" w:rsidRDefault="00104EF3" w:rsidP="0077654C">
            <w:pPr>
              <w:jc w:val="both"/>
              <w:rPr>
                <w:sz w:val="24"/>
                <w:szCs w:val="24"/>
              </w:rPr>
            </w:pPr>
            <w:r>
              <w:rPr>
                <w:sz w:val="24"/>
                <w:szCs w:val="24"/>
              </w:rPr>
              <w:t>UKUPNO:</w:t>
            </w:r>
          </w:p>
        </w:tc>
        <w:tc>
          <w:tcPr>
            <w:tcW w:w="3021" w:type="dxa"/>
          </w:tcPr>
          <w:p w:rsidR="00104EF3" w:rsidRDefault="00CC1527" w:rsidP="0077654C">
            <w:pPr>
              <w:jc w:val="both"/>
              <w:rPr>
                <w:sz w:val="24"/>
                <w:szCs w:val="24"/>
              </w:rPr>
            </w:pPr>
            <w:r>
              <w:rPr>
                <w:sz w:val="24"/>
                <w:szCs w:val="24"/>
              </w:rPr>
              <w:t>68.644,65</w:t>
            </w:r>
          </w:p>
        </w:tc>
        <w:tc>
          <w:tcPr>
            <w:tcW w:w="3021" w:type="dxa"/>
          </w:tcPr>
          <w:p w:rsidR="00104EF3" w:rsidRDefault="00CC1527" w:rsidP="0077654C">
            <w:pPr>
              <w:jc w:val="both"/>
              <w:rPr>
                <w:sz w:val="24"/>
                <w:szCs w:val="24"/>
              </w:rPr>
            </w:pPr>
            <w:r>
              <w:rPr>
                <w:sz w:val="24"/>
                <w:szCs w:val="24"/>
              </w:rPr>
              <w:t>3.274,59</w:t>
            </w:r>
          </w:p>
        </w:tc>
      </w:tr>
    </w:tbl>
    <w:p w:rsidR="00104EF3" w:rsidRDefault="00104EF3" w:rsidP="00824AE4">
      <w:pPr>
        <w:jc w:val="both"/>
        <w:rPr>
          <w:sz w:val="24"/>
          <w:szCs w:val="24"/>
        </w:rPr>
      </w:pPr>
    </w:p>
    <w:p w:rsidR="00104EF3" w:rsidRDefault="00104EF3" w:rsidP="00824AE4">
      <w:pPr>
        <w:jc w:val="both"/>
        <w:rPr>
          <w:sz w:val="24"/>
          <w:szCs w:val="24"/>
        </w:rPr>
      </w:pPr>
    </w:p>
    <w:p w:rsidR="0042027B" w:rsidRDefault="0042027B" w:rsidP="00824AE4">
      <w:pPr>
        <w:jc w:val="both"/>
        <w:rPr>
          <w:sz w:val="24"/>
          <w:szCs w:val="24"/>
        </w:rPr>
      </w:pPr>
      <w:r>
        <w:rPr>
          <w:sz w:val="24"/>
          <w:szCs w:val="24"/>
        </w:rPr>
        <w:t>Stanje novčanih sredstava proračunskog korisnika na početku i na kraju proračunske godine</w:t>
      </w:r>
    </w:p>
    <w:tbl>
      <w:tblPr>
        <w:tblStyle w:val="Reetkatablice"/>
        <w:tblW w:w="0" w:type="auto"/>
        <w:tblLook w:val="04A0" w:firstRow="1" w:lastRow="0" w:firstColumn="1" w:lastColumn="0" w:noHBand="0" w:noVBand="1"/>
      </w:tblPr>
      <w:tblGrid>
        <w:gridCol w:w="4531"/>
        <w:gridCol w:w="4531"/>
      </w:tblGrid>
      <w:tr w:rsidR="0042027B" w:rsidTr="008E5F12">
        <w:tc>
          <w:tcPr>
            <w:tcW w:w="4531" w:type="dxa"/>
          </w:tcPr>
          <w:p w:rsidR="0042027B" w:rsidRPr="008E5F12" w:rsidRDefault="0042027B" w:rsidP="008E5F12">
            <w:pPr>
              <w:jc w:val="center"/>
              <w:rPr>
                <w:b/>
                <w:sz w:val="24"/>
                <w:szCs w:val="24"/>
              </w:rPr>
            </w:pPr>
            <w:r w:rsidRPr="008E5F12">
              <w:rPr>
                <w:b/>
                <w:sz w:val="24"/>
                <w:szCs w:val="24"/>
              </w:rPr>
              <w:t>01.01.2025.</w:t>
            </w:r>
          </w:p>
        </w:tc>
        <w:tc>
          <w:tcPr>
            <w:tcW w:w="4531" w:type="dxa"/>
          </w:tcPr>
          <w:p w:rsidR="0042027B" w:rsidRPr="008E5F12" w:rsidRDefault="0042027B" w:rsidP="008E5F12">
            <w:pPr>
              <w:jc w:val="center"/>
              <w:rPr>
                <w:b/>
                <w:sz w:val="24"/>
                <w:szCs w:val="24"/>
              </w:rPr>
            </w:pPr>
            <w:r w:rsidRPr="008E5F12">
              <w:rPr>
                <w:b/>
                <w:sz w:val="24"/>
                <w:szCs w:val="24"/>
              </w:rPr>
              <w:t>31.12.2025</w:t>
            </w:r>
            <w:r w:rsidR="008E5F12">
              <w:rPr>
                <w:b/>
                <w:sz w:val="24"/>
                <w:szCs w:val="24"/>
              </w:rPr>
              <w:t>.</w:t>
            </w:r>
          </w:p>
        </w:tc>
      </w:tr>
      <w:tr w:rsidR="0042027B" w:rsidTr="008E5F12">
        <w:tc>
          <w:tcPr>
            <w:tcW w:w="4531" w:type="dxa"/>
          </w:tcPr>
          <w:p w:rsidR="0042027B" w:rsidRDefault="0042027B" w:rsidP="008E5F12">
            <w:pPr>
              <w:jc w:val="center"/>
              <w:rPr>
                <w:sz w:val="24"/>
                <w:szCs w:val="24"/>
              </w:rPr>
            </w:pPr>
            <w:r>
              <w:rPr>
                <w:sz w:val="24"/>
                <w:szCs w:val="24"/>
              </w:rPr>
              <w:t>10.474,67</w:t>
            </w:r>
          </w:p>
        </w:tc>
        <w:tc>
          <w:tcPr>
            <w:tcW w:w="4531" w:type="dxa"/>
          </w:tcPr>
          <w:p w:rsidR="0042027B" w:rsidRDefault="0042027B" w:rsidP="008E5F12">
            <w:pPr>
              <w:jc w:val="center"/>
              <w:rPr>
                <w:sz w:val="24"/>
                <w:szCs w:val="24"/>
              </w:rPr>
            </w:pPr>
            <w:r>
              <w:rPr>
                <w:sz w:val="24"/>
                <w:szCs w:val="24"/>
              </w:rPr>
              <w:t>1.462,66</w:t>
            </w:r>
          </w:p>
        </w:tc>
      </w:tr>
    </w:tbl>
    <w:p w:rsidR="0042027B" w:rsidRDefault="0042027B" w:rsidP="00824AE4">
      <w:pPr>
        <w:jc w:val="both"/>
        <w:rPr>
          <w:sz w:val="24"/>
          <w:szCs w:val="24"/>
        </w:rPr>
      </w:pPr>
    </w:p>
    <w:p w:rsidR="0042027B" w:rsidRPr="00F97490" w:rsidRDefault="0042027B" w:rsidP="00824AE4">
      <w:pPr>
        <w:jc w:val="both"/>
        <w:rPr>
          <w:sz w:val="24"/>
          <w:szCs w:val="24"/>
        </w:rPr>
      </w:pPr>
    </w:p>
    <w:p w:rsidR="00A928BD" w:rsidRPr="00EA0D13" w:rsidRDefault="00A928BD">
      <w:pPr>
        <w:rPr>
          <w:b/>
          <w:sz w:val="24"/>
          <w:szCs w:val="24"/>
        </w:rPr>
      </w:pPr>
      <w:r w:rsidRPr="00EA0D13">
        <w:rPr>
          <w:b/>
          <w:sz w:val="24"/>
          <w:szCs w:val="24"/>
        </w:rPr>
        <w:t>Rashodi i prihodi po ekonomskoj klasifikaciji</w:t>
      </w:r>
    </w:p>
    <w:p w:rsidR="00F77D44" w:rsidRDefault="00F77D44">
      <w:pPr>
        <w:rPr>
          <w:b/>
        </w:rPr>
      </w:pPr>
    </w:p>
    <w:p w:rsidR="00F77D44" w:rsidRPr="00263509" w:rsidRDefault="00F77D44" w:rsidP="00DD7651">
      <w:pPr>
        <w:jc w:val="both"/>
        <w:rPr>
          <w:sz w:val="24"/>
          <w:szCs w:val="24"/>
        </w:rPr>
      </w:pPr>
      <w:r w:rsidRPr="00263509">
        <w:rPr>
          <w:sz w:val="24"/>
          <w:szCs w:val="24"/>
        </w:rPr>
        <w:t>Glavni temelj za dobro planiranje prihoda i rashoda prvenstveno se odnosi na određenim financijskim sredstvima od strane Primorsko goranske županije</w:t>
      </w:r>
      <w:r w:rsidR="00DD7651">
        <w:rPr>
          <w:sz w:val="24"/>
          <w:szCs w:val="24"/>
        </w:rPr>
        <w:t>, Ministarstva znanosti, obrazovanja i sporta, Jedinice lokalne samouprave, te vlastitim sredstvima,</w:t>
      </w:r>
      <w:r w:rsidR="003869DF">
        <w:rPr>
          <w:sz w:val="24"/>
          <w:szCs w:val="24"/>
        </w:rPr>
        <w:t xml:space="preserve"> te sredstvima sufinanciranja od strane roditelja učenika škole (produženi boravak učenika nižih razreda, ispitni materijal, terenske nastave)</w:t>
      </w:r>
      <w:r w:rsidRPr="00263509">
        <w:rPr>
          <w:sz w:val="24"/>
          <w:szCs w:val="24"/>
        </w:rPr>
        <w:t xml:space="preserve"> i to prilikom planiranja za slijedeće financijsko razdoblje i izrade projekcija za dvogodišnje razdoblje.</w:t>
      </w:r>
      <w:r w:rsidR="002C68C5">
        <w:rPr>
          <w:sz w:val="24"/>
          <w:szCs w:val="24"/>
        </w:rPr>
        <w:t xml:space="preserve"> Važno je napomenuti da unutar financijskog plana škole evidentiraju se i podaci o prenesenom višku prethodnog razdoblja usvojen od strane školskog odbora.</w:t>
      </w:r>
    </w:p>
    <w:p w:rsidR="0050524C" w:rsidRDefault="00A928BD" w:rsidP="00A928BD">
      <w:pPr>
        <w:jc w:val="both"/>
        <w:rPr>
          <w:sz w:val="24"/>
          <w:szCs w:val="24"/>
        </w:rPr>
      </w:pPr>
      <w:r w:rsidRPr="007A7014">
        <w:rPr>
          <w:sz w:val="24"/>
          <w:szCs w:val="24"/>
        </w:rPr>
        <w:lastRenderedPageBreak/>
        <w:t>U navedenoj tablici prikazani su ukupni planirani i izvršeni prihodi i rashodi u poslovanju škole u 202</w:t>
      </w:r>
      <w:r w:rsidR="00DF0A38">
        <w:rPr>
          <w:sz w:val="24"/>
          <w:szCs w:val="24"/>
        </w:rPr>
        <w:t>5</w:t>
      </w:r>
      <w:r w:rsidRPr="007A7014">
        <w:rPr>
          <w:sz w:val="24"/>
          <w:szCs w:val="24"/>
        </w:rPr>
        <w:t>. godini, kao i njihov odnos prema izvršenim prihodima i rashodima u 202</w:t>
      </w:r>
      <w:r w:rsidR="00DF0A38">
        <w:rPr>
          <w:sz w:val="24"/>
          <w:szCs w:val="24"/>
        </w:rPr>
        <w:t>4</w:t>
      </w:r>
      <w:r w:rsidRPr="007A7014">
        <w:rPr>
          <w:sz w:val="24"/>
          <w:szCs w:val="24"/>
        </w:rPr>
        <w:t>. godini. Indeks planiranih prihoda prema ostvarenim prihodima u 202</w:t>
      </w:r>
      <w:r w:rsidR="00DF0A38">
        <w:rPr>
          <w:sz w:val="24"/>
          <w:szCs w:val="24"/>
        </w:rPr>
        <w:t>5</w:t>
      </w:r>
      <w:r w:rsidRPr="007A7014">
        <w:rPr>
          <w:sz w:val="24"/>
          <w:szCs w:val="24"/>
        </w:rPr>
        <w:t xml:space="preserve">. godini iznosi </w:t>
      </w:r>
      <w:r w:rsidR="00DF0A38">
        <w:rPr>
          <w:sz w:val="24"/>
          <w:szCs w:val="24"/>
        </w:rPr>
        <w:t>90</w:t>
      </w:r>
      <w:r w:rsidRPr="007A7014">
        <w:rPr>
          <w:sz w:val="24"/>
          <w:szCs w:val="24"/>
        </w:rPr>
        <w:t xml:space="preserve">, dok indeks </w:t>
      </w:r>
      <w:r w:rsidR="0050524C">
        <w:rPr>
          <w:sz w:val="24"/>
          <w:szCs w:val="24"/>
        </w:rPr>
        <w:t>ostvarenih prihoda u 2024. godini i ostvarenih prihoda u 2025. godini iznosi 112,02.</w:t>
      </w:r>
    </w:p>
    <w:p w:rsidR="000F2DC7" w:rsidRDefault="00A928BD" w:rsidP="00C61A30">
      <w:pPr>
        <w:spacing w:after="0" w:line="240" w:lineRule="auto"/>
        <w:jc w:val="both"/>
        <w:rPr>
          <w:sz w:val="24"/>
          <w:szCs w:val="24"/>
        </w:rPr>
      </w:pPr>
      <w:r w:rsidRPr="007A7014">
        <w:rPr>
          <w:sz w:val="24"/>
          <w:szCs w:val="24"/>
        </w:rPr>
        <w:t>Poslovanje Osnovne škole Klana financira se iz različitih izvora. Rashodi za zapos</w:t>
      </w:r>
      <w:r w:rsidR="007D31A5">
        <w:rPr>
          <w:sz w:val="24"/>
          <w:szCs w:val="24"/>
        </w:rPr>
        <w:t>lenike škole financira se iz tri</w:t>
      </w:r>
      <w:r w:rsidRPr="007A7014">
        <w:rPr>
          <w:sz w:val="24"/>
          <w:szCs w:val="24"/>
        </w:rPr>
        <w:t xml:space="preserve"> izvora. Iz izvora </w:t>
      </w:r>
      <w:r w:rsidR="007D31A5">
        <w:rPr>
          <w:sz w:val="24"/>
          <w:szCs w:val="24"/>
        </w:rPr>
        <w:t xml:space="preserve">Primorsko goranske županije </w:t>
      </w:r>
      <w:r w:rsidR="007D31A5" w:rsidRPr="00A8462A">
        <w:rPr>
          <w:sz w:val="24"/>
          <w:szCs w:val="24"/>
        </w:rPr>
        <w:t>(</w:t>
      </w:r>
      <w:r w:rsidR="00A8462A" w:rsidRPr="00A8462A">
        <w:rPr>
          <w:sz w:val="24"/>
          <w:szCs w:val="24"/>
        </w:rPr>
        <w:t>Primorsko goranska županija i Osnovna škola Klana sk</w:t>
      </w:r>
      <w:r w:rsidR="000F2DC7">
        <w:rPr>
          <w:sz w:val="24"/>
          <w:szCs w:val="24"/>
        </w:rPr>
        <w:t xml:space="preserve">lopili su ugovore o sufinanciranju rada </w:t>
      </w:r>
      <w:r w:rsidR="00A8462A" w:rsidRPr="00A8462A">
        <w:rPr>
          <w:sz w:val="24"/>
          <w:szCs w:val="24"/>
        </w:rPr>
        <w:t xml:space="preserve"> pomoćnika u nasta</w:t>
      </w:r>
      <w:r w:rsidR="000F2DC7">
        <w:rPr>
          <w:sz w:val="24"/>
          <w:szCs w:val="24"/>
        </w:rPr>
        <w:t>vi</w:t>
      </w:r>
      <w:r w:rsidR="007D31A5">
        <w:rPr>
          <w:sz w:val="24"/>
          <w:szCs w:val="24"/>
        </w:rPr>
        <w:t xml:space="preserve">, </w:t>
      </w:r>
    </w:p>
    <w:p w:rsidR="00C61A30" w:rsidRPr="00C61A30" w:rsidRDefault="000F2DC7" w:rsidP="00C61A30">
      <w:pPr>
        <w:spacing w:after="0" w:line="240" w:lineRule="auto"/>
        <w:jc w:val="both"/>
        <w:rPr>
          <w:sz w:val="24"/>
          <w:szCs w:val="24"/>
        </w:rPr>
      </w:pPr>
      <w:r>
        <w:rPr>
          <w:sz w:val="24"/>
          <w:szCs w:val="24"/>
        </w:rPr>
        <w:t xml:space="preserve">Iz </w:t>
      </w:r>
      <w:r w:rsidR="00A928BD" w:rsidRPr="007A7014">
        <w:rPr>
          <w:sz w:val="24"/>
          <w:szCs w:val="24"/>
        </w:rPr>
        <w:t>Ministarstva</w:t>
      </w:r>
      <w:r w:rsidR="007D31A5">
        <w:rPr>
          <w:sz w:val="24"/>
          <w:szCs w:val="24"/>
        </w:rPr>
        <w:t xml:space="preserve"> znanosti</w:t>
      </w:r>
      <w:r>
        <w:rPr>
          <w:sz w:val="24"/>
          <w:szCs w:val="24"/>
        </w:rPr>
        <w:t xml:space="preserve"> (plaće zaposlenika, te ostali rashodi zaposlenika</w:t>
      </w:r>
      <w:r w:rsidR="007D31A5">
        <w:rPr>
          <w:sz w:val="24"/>
          <w:szCs w:val="24"/>
        </w:rPr>
        <w:t xml:space="preserve">, obrazovanja i mladih, te iz </w:t>
      </w:r>
      <w:r w:rsidR="00A928BD" w:rsidRPr="007A7014">
        <w:rPr>
          <w:sz w:val="24"/>
          <w:szCs w:val="24"/>
        </w:rPr>
        <w:t>Jedinice lokalne samouprave (Općine Klana</w:t>
      </w:r>
      <w:r w:rsidR="00C61A30">
        <w:rPr>
          <w:sz w:val="24"/>
          <w:szCs w:val="24"/>
        </w:rPr>
        <w:t>-</w:t>
      </w:r>
      <w:r w:rsidR="00C61A30" w:rsidRPr="00C61A30">
        <w:rPr>
          <w:sz w:val="28"/>
          <w:szCs w:val="28"/>
        </w:rPr>
        <w:t xml:space="preserve"> </w:t>
      </w:r>
      <w:r w:rsidR="00C61A30" w:rsidRPr="00C61A30">
        <w:rPr>
          <w:sz w:val="24"/>
          <w:szCs w:val="24"/>
        </w:rPr>
        <w:t>Prihod ostvaren od strane jedinice lokalne samouprave – općine isključivo je namijenjen za podmirenje rashoda plaća i ostalih</w:t>
      </w:r>
      <w:r w:rsidR="00C61A30" w:rsidRPr="00062F8D">
        <w:rPr>
          <w:sz w:val="28"/>
          <w:szCs w:val="28"/>
        </w:rPr>
        <w:t xml:space="preserve"> </w:t>
      </w:r>
      <w:r w:rsidR="00C61A30" w:rsidRPr="00C61A30">
        <w:rPr>
          <w:sz w:val="24"/>
          <w:szCs w:val="24"/>
        </w:rPr>
        <w:t>rashoda  voditeljice produženog boravka i vozača kombi vozila, te za financiranje učiteljice engleskog jezika u okviru programa ranog učenja engleskog jezika od 1.-3. razreda.</w:t>
      </w:r>
    </w:p>
    <w:p w:rsidR="00C61A30" w:rsidRPr="00C61A30" w:rsidRDefault="00C61A30" w:rsidP="00C61A30">
      <w:pPr>
        <w:spacing w:after="0" w:line="240" w:lineRule="auto"/>
        <w:jc w:val="both"/>
        <w:rPr>
          <w:sz w:val="24"/>
          <w:szCs w:val="24"/>
        </w:rPr>
      </w:pPr>
      <w:r w:rsidRPr="00C61A30">
        <w:rPr>
          <w:sz w:val="24"/>
          <w:szCs w:val="24"/>
        </w:rPr>
        <w:t>Specifikacija prihoda i rashoda realiziranih u 2024. godini:</w:t>
      </w:r>
      <w:r w:rsidR="00A01609">
        <w:rPr>
          <w:sz w:val="24"/>
          <w:szCs w:val="24"/>
        </w:rPr>
        <w:t xml:space="preserve"> realizirani prihodi iznose 32.999,24 </w:t>
      </w:r>
      <w:r w:rsidR="00A01609">
        <w:rPr>
          <w:rFonts w:cstheme="minorHAnsi"/>
          <w:sz w:val="24"/>
          <w:szCs w:val="24"/>
        </w:rPr>
        <w:t>€</w:t>
      </w:r>
      <w:r w:rsidR="00A01609">
        <w:rPr>
          <w:sz w:val="24"/>
          <w:szCs w:val="24"/>
        </w:rPr>
        <w:t xml:space="preserve">, dok realizirani rashodi iznose </w:t>
      </w:r>
      <w:r w:rsidR="002C68C5">
        <w:rPr>
          <w:sz w:val="24"/>
          <w:szCs w:val="24"/>
        </w:rPr>
        <w:t xml:space="preserve">35.498,05. </w:t>
      </w:r>
    </w:p>
    <w:p w:rsidR="00956B90" w:rsidRPr="007A7014" w:rsidRDefault="00A928BD" w:rsidP="00A928BD">
      <w:pPr>
        <w:jc w:val="both"/>
        <w:rPr>
          <w:sz w:val="24"/>
          <w:szCs w:val="24"/>
        </w:rPr>
      </w:pPr>
      <w:r w:rsidRPr="007A7014">
        <w:rPr>
          <w:sz w:val="24"/>
          <w:szCs w:val="24"/>
        </w:rPr>
        <w:t>Za 202</w:t>
      </w:r>
      <w:r w:rsidR="00123AF7">
        <w:rPr>
          <w:sz w:val="24"/>
          <w:szCs w:val="24"/>
        </w:rPr>
        <w:t>4</w:t>
      </w:r>
      <w:r w:rsidRPr="007A7014">
        <w:rPr>
          <w:sz w:val="24"/>
          <w:szCs w:val="24"/>
        </w:rPr>
        <w:t>. godinu planirani su veći prihodi iz razloga povećanja osnovice za obračun plać</w:t>
      </w:r>
      <w:r w:rsidR="00123AF7">
        <w:rPr>
          <w:sz w:val="24"/>
          <w:szCs w:val="24"/>
        </w:rPr>
        <w:t>e.</w:t>
      </w:r>
      <w:r w:rsidR="00956B90" w:rsidRPr="007A7014">
        <w:rPr>
          <w:sz w:val="24"/>
          <w:szCs w:val="24"/>
        </w:rPr>
        <w:t xml:space="preserve"> Isto tako došlo je i do povećanje isplata </w:t>
      </w:r>
      <w:proofErr w:type="spellStart"/>
      <w:r w:rsidR="005D78EF">
        <w:rPr>
          <w:sz w:val="24"/>
          <w:szCs w:val="24"/>
        </w:rPr>
        <w:t>uskrsnice</w:t>
      </w:r>
      <w:proofErr w:type="spellEnd"/>
      <w:r w:rsidR="005D78EF">
        <w:rPr>
          <w:sz w:val="24"/>
          <w:szCs w:val="24"/>
        </w:rPr>
        <w:t xml:space="preserve">, </w:t>
      </w:r>
      <w:r w:rsidR="00956B90" w:rsidRPr="007A7014">
        <w:rPr>
          <w:sz w:val="24"/>
          <w:szCs w:val="24"/>
        </w:rPr>
        <w:t xml:space="preserve">regresa i božićnica, kao i iznosa za Dar djetetu, što je rezultiralo ukupnim povećanjem prihoda poslovanja škole. </w:t>
      </w:r>
    </w:p>
    <w:p w:rsidR="00F97490" w:rsidRPr="00655559" w:rsidRDefault="00F97490" w:rsidP="00A928BD">
      <w:pPr>
        <w:jc w:val="both"/>
        <w:rPr>
          <w:sz w:val="24"/>
          <w:szCs w:val="24"/>
        </w:rPr>
      </w:pPr>
      <w:r w:rsidRPr="00655559">
        <w:rPr>
          <w:sz w:val="24"/>
          <w:szCs w:val="24"/>
        </w:rPr>
        <w:t xml:space="preserve">Planiranje po svim izvorima financiranja temelji se na ostvarenim financijskim rezultatima na bazi trogodišnjeg poslovanja škole, te na temelju Odluka donesene od strane osnivača škole odnosno Primorsko goranske županije (upravni odjel za odgoj i obrazovanje). </w:t>
      </w:r>
      <w:r w:rsidR="006E3A62">
        <w:rPr>
          <w:sz w:val="24"/>
          <w:szCs w:val="24"/>
        </w:rPr>
        <w:t xml:space="preserve">Prilikom planiranja prihoda i rashoda za plaće zaposlenika u školi, odnosno osnovnom obrazovanju iz izvora financiranja od strane Ministarstva znanosti, obrazovanja i mladih, planiranje se temeljilo i na donesenoj Uredbi o nazivima radnih mjesta, uvjetima za raspored i koeficijentima za obračun plaće u javnim službama. </w:t>
      </w:r>
      <w:r w:rsidRPr="00655559">
        <w:rPr>
          <w:sz w:val="24"/>
          <w:szCs w:val="24"/>
        </w:rPr>
        <w:t xml:space="preserve">Ujedno u srhu postizanja efikasnosti i ekonomičnosti u poslovanju prilikom planiranja prihoda i rashoda uzimaju se u obzir i promjene tržišnih cijena, povećanje ili smanjenje broja učenika te odluke koje donosi Ministarstvo financija i obrazovanja. </w:t>
      </w:r>
    </w:p>
    <w:p w:rsidR="003C646C" w:rsidRPr="00F97490" w:rsidRDefault="003C646C" w:rsidP="00A928BD">
      <w:pPr>
        <w:jc w:val="both"/>
        <w:rPr>
          <w:sz w:val="24"/>
          <w:szCs w:val="24"/>
        </w:rPr>
      </w:pPr>
      <w:r w:rsidRPr="006724C2">
        <w:rPr>
          <w:sz w:val="24"/>
          <w:szCs w:val="24"/>
        </w:rPr>
        <w:t>Visina</w:t>
      </w:r>
      <w:r w:rsidRPr="00F97490">
        <w:rPr>
          <w:sz w:val="24"/>
          <w:szCs w:val="24"/>
        </w:rPr>
        <w:t xml:space="preserve"> indeksa od </w:t>
      </w:r>
      <w:r w:rsidR="002C2A36">
        <w:rPr>
          <w:sz w:val="24"/>
          <w:szCs w:val="24"/>
        </w:rPr>
        <w:t>90</w:t>
      </w:r>
      <w:r w:rsidRPr="00F97490">
        <w:rPr>
          <w:sz w:val="24"/>
          <w:szCs w:val="24"/>
        </w:rPr>
        <w:t xml:space="preserve"> (odnos između planiranih sredstava i izvršenih prihoda</w:t>
      </w:r>
      <w:r w:rsidR="00D65AAE">
        <w:rPr>
          <w:sz w:val="24"/>
          <w:szCs w:val="24"/>
        </w:rPr>
        <w:t xml:space="preserve"> unutar </w:t>
      </w:r>
      <w:r w:rsidR="003869DF">
        <w:rPr>
          <w:sz w:val="24"/>
          <w:szCs w:val="24"/>
        </w:rPr>
        <w:t>godišnjeg</w:t>
      </w:r>
      <w:r w:rsidR="00D65AAE">
        <w:rPr>
          <w:sz w:val="24"/>
          <w:szCs w:val="24"/>
        </w:rPr>
        <w:t xml:space="preserve"> razdoblja</w:t>
      </w:r>
      <w:r w:rsidRPr="00F97490">
        <w:rPr>
          <w:sz w:val="24"/>
          <w:szCs w:val="24"/>
        </w:rPr>
        <w:t>) govori o dobrom planiranju i ostvarenju. Svi prihodi koji su planirani unutar financijskog plana Osnovne škole Klana planirani su na stvarnim potrebama, zakonski donesenim odlukama, te na temelju ugovora sklopljenih između škole i osnivača.</w:t>
      </w:r>
      <w:r w:rsidR="006724C2">
        <w:rPr>
          <w:sz w:val="24"/>
          <w:szCs w:val="24"/>
        </w:rPr>
        <w:t xml:space="preserve"> </w:t>
      </w:r>
      <w:r w:rsidRPr="00F97490">
        <w:rPr>
          <w:sz w:val="24"/>
          <w:szCs w:val="24"/>
        </w:rPr>
        <w:t>Svi programi (program iznad standarda-likovna radionica, program Županijska škola plivanja</w:t>
      </w:r>
      <w:r w:rsidR="000738A6">
        <w:rPr>
          <w:sz w:val="24"/>
          <w:szCs w:val="24"/>
        </w:rPr>
        <w:t>, Školski medni dan</w:t>
      </w:r>
      <w:r w:rsidRPr="00F97490">
        <w:rPr>
          <w:sz w:val="24"/>
          <w:szCs w:val="24"/>
        </w:rPr>
        <w:t>), zatim nabava du</w:t>
      </w:r>
      <w:r w:rsidR="00D34C6A">
        <w:rPr>
          <w:sz w:val="24"/>
          <w:szCs w:val="24"/>
        </w:rPr>
        <w:t xml:space="preserve">gotrajne imovine, radovi na objektu zgrade škole i </w:t>
      </w:r>
      <w:r w:rsidR="0010475C">
        <w:rPr>
          <w:sz w:val="24"/>
          <w:szCs w:val="24"/>
        </w:rPr>
        <w:t xml:space="preserve">školske </w:t>
      </w:r>
      <w:r w:rsidR="00D34C6A">
        <w:rPr>
          <w:sz w:val="24"/>
          <w:szCs w:val="24"/>
        </w:rPr>
        <w:t>dvorane</w:t>
      </w:r>
      <w:r w:rsidR="00547C88">
        <w:rPr>
          <w:sz w:val="24"/>
          <w:szCs w:val="24"/>
        </w:rPr>
        <w:t xml:space="preserve">, potrebe za hitnim intervencija potrebne radi ostvarivanja uvjeta održavanja nastave učenika </w:t>
      </w:r>
      <w:r w:rsidR="00D34C6A">
        <w:rPr>
          <w:sz w:val="24"/>
          <w:szCs w:val="24"/>
        </w:rPr>
        <w:t>- s</w:t>
      </w:r>
      <w:r w:rsidRPr="00F97490">
        <w:rPr>
          <w:sz w:val="24"/>
          <w:szCs w:val="24"/>
        </w:rPr>
        <w:t>vi su ti rashodi realizirani u visini doznačenih sredstava i planiranih prihoda od strane osnivača. Isto tako, mnogi prihodi i rashodi planirani su na temelju izračuna stvarnih rashoda</w:t>
      </w:r>
      <w:r w:rsidR="003E3A25" w:rsidRPr="00F97490">
        <w:rPr>
          <w:sz w:val="24"/>
          <w:szCs w:val="24"/>
        </w:rPr>
        <w:t xml:space="preserve"> tijekom trogodišnjeg razdoblja, te </w:t>
      </w:r>
      <w:r w:rsidR="00D34C6A">
        <w:rPr>
          <w:sz w:val="24"/>
          <w:szCs w:val="24"/>
        </w:rPr>
        <w:t xml:space="preserve">na temelju </w:t>
      </w:r>
      <w:r w:rsidR="003E3A25" w:rsidRPr="00F97490">
        <w:rPr>
          <w:sz w:val="24"/>
          <w:szCs w:val="24"/>
        </w:rPr>
        <w:t>kretanj</w:t>
      </w:r>
      <w:r w:rsidR="00D34C6A">
        <w:rPr>
          <w:sz w:val="24"/>
          <w:szCs w:val="24"/>
        </w:rPr>
        <w:t>a</w:t>
      </w:r>
      <w:r w:rsidR="003E3A25" w:rsidRPr="00F97490">
        <w:rPr>
          <w:sz w:val="24"/>
          <w:szCs w:val="24"/>
        </w:rPr>
        <w:t xml:space="preserve"> tržišnih cijena. Vrlo važan segment prilikom izrade financijskog plana škole je i praćenje tržišnih cijena materijala i usluga.</w:t>
      </w:r>
      <w:r w:rsidR="00D34C6A">
        <w:rPr>
          <w:sz w:val="24"/>
          <w:szCs w:val="24"/>
        </w:rPr>
        <w:t xml:space="preserve"> Iz razlo</w:t>
      </w:r>
      <w:r w:rsidR="00DD3E4E">
        <w:rPr>
          <w:sz w:val="24"/>
          <w:szCs w:val="24"/>
        </w:rPr>
        <w:t>ga praćenja trži</w:t>
      </w:r>
      <w:r w:rsidR="00D34C6A">
        <w:rPr>
          <w:sz w:val="24"/>
          <w:szCs w:val="24"/>
        </w:rPr>
        <w:t>šnih cijena i povećanju</w:t>
      </w:r>
      <w:r w:rsidR="00DD3E4E">
        <w:rPr>
          <w:sz w:val="24"/>
          <w:szCs w:val="24"/>
        </w:rPr>
        <w:t xml:space="preserve"> rashoda, Osnovna škola Klana i osnivač Primorsko goranska županija sklopile  su ugovor</w:t>
      </w:r>
      <w:r w:rsidR="00D34C6A">
        <w:rPr>
          <w:sz w:val="24"/>
          <w:szCs w:val="24"/>
        </w:rPr>
        <w:t xml:space="preserve"> </w:t>
      </w:r>
      <w:r w:rsidR="00DD3E4E">
        <w:rPr>
          <w:sz w:val="24"/>
          <w:szCs w:val="24"/>
        </w:rPr>
        <w:t xml:space="preserve">o financiranju dodatnih materijalnih rashoda u vrijednosti od </w:t>
      </w:r>
      <w:r w:rsidR="00A673E2">
        <w:rPr>
          <w:sz w:val="24"/>
          <w:szCs w:val="24"/>
        </w:rPr>
        <w:t>2.200,00</w:t>
      </w:r>
      <w:r w:rsidR="00DD3E4E">
        <w:rPr>
          <w:sz w:val="24"/>
          <w:szCs w:val="24"/>
        </w:rPr>
        <w:t xml:space="preserve"> </w:t>
      </w:r>
      <w:r w:rsidR="00DD3E4E">
        <w:rPr>
          <w:rFonts w:cstheme="minorHAnsi"/>
          <w:sz w:val="24"/>
          <w:szCs w:val="24"/>
        </w:rPr>
        <w:t>€</w:t>
      </w:r>
      <w:r w:rsidR="00DD3E4E">
        <w:rPr>
          <w:sz w:val="24"/>
          <w:szCs w:val="24"/>
        </w:rPr>
        <w:t>.</w:t>
      </w:r>
    </w:p>
    <w:p w:rsidR="00D34479" w:rsidRDefault="00D34479" w:rsidP="00A928BD">
      <w:pPr>
        <w:jc w:val="both"/>
        <w:rPr>
          <w:sz w:val="24"/>
          <w:szCs w:val="24"/>
        </w:rPr>
      </w:pPr>
      <w:r w:rsidRPr="00F97490">
        <w:rPr>
          <w:sz w:val="24"/>
          <w:szCs w:val="24"/>
        </w:rPr>
        <w:t>Isto tako važno je za istaknuti da je država preuzela obvezu financiranje prehrane učenika u školama u 202</w:t>
      </w:r>
      <w:r w:rsidR="00B52C04">
        <w:rPr>
          <w:sz w:val="24"/>
          <w:szCs w:val="24"/>
        </w:rPr>
        <w:t>5</w:t>
      </w:r>
      <w:r w:rsidRPr="00F97490">
        <w:rPr>
          <w:sz w:val="24"/>
          <w:szCs w:val="24"/>
        </w:rPr>
        <w:t xml:space="preserve">. godini te da se planirani prihod kao i planirani rashod povećao unutar izvora </w:t>
      </w:r>
      <w:r w:rsidRPr="00F97490">
        <w:rPr>
          <w:sz w:val="24"/>
          <w:szCs w:val="24"/>
        </w:rPr>
        <w:lastRenderedPageBreak/>
        <w:t>financiranja ministarstva, a samim time i smanjio unutar izvora financiranja za posebne namjene unutar kojeg su planirana sredstva sufinancirana od strane roditelja učenika.</w:t>
      </w:r>
    </w:p>
    <w:p w:rsidR="00966F9D" w:rsidRPr="00F97490" w:rsidRDefault="00966F9D" w:rsidP="00A928BD">
      <w:pPr>
        <w:jc w:val="both"/>
        <w:rPr>
          <w:sz w:val="24"/>
          <w:szCs w:val="24"/>
        </w:rPr>
      </w:pPr>
    </w:p>
    <w:p w:rsidR="003E3A25" w:rsidRPr="00F97490" w:rsidRDefault="003E3A25" w:rsidP="00A928BD">
      <w:pPr>
        <w:jc w:val="both"/>
        <w:rPr>
          <w:b/>
          <w:sz w:val="24"/>
          <w:szCs w:val="24"/>
        </w:rPr>
      </w:pPr>
      <w:r w:rsidRPr="00F97490">
        <w:rPr>
          <w:b/>
          <w:sz w:val="24"/>
          <w:szCs w:val="24"/>
        </w:rPr>
        <w:t>Konsolidirani proračun</w:t>
      </w:r>
    </w:p>
    <w:p w:rsidR="003E3A25" w:rsidRDefault="003E3A25" w:rsidP="00A928BD">
      <w:pPr>
        <w:jc w:val="both"/>
      </w:pPr>
    </w:p>
    <w:p w:rsidR="003E3A25" w:rsidRPr="00F97490" w:rsidRDefault="003E3A25" w:rsidP="00A928BD">
      <w:pPr>
        <w:jc w:val="both"/>
        <w:rPr>
          <w:sz w:val="24"/>
          <w:szCs w:val="24"/>
        </w:rPr>
      </w:pPr>
      <w:r w:rsidRPr="00F97490">
        <w:rPr>
          <w:sz w:val="24"/>
          <w:szCs w:val="24"/>
        </w:rPr>
        <w:t>U tablici – posebni dio konsolidiranog proračuna -  planirani i izvršeni prihodi i rashodi prikazani su prema različitim izvorima financiranja. Sredstva za financiranje rada pomoćnika u nastavi raspoređuju se unutar plana po izvorima na temelju prijedloga i odluke osnivača (Primorsko goranske županije), kao i sredstva za provedbu programa iznad standarda. Iznos prihoda za podmirenje rashoda pomoćnika u nastavi</w:t>
      </w:r>
      <w:r w:rsidR="00D34479" w:rsidRPr="00F97490">
        <w:rPr>
          <w:sz w:val="24"/>
          <w:szCs w:val="24"/>
        </w:rPr>
        <w:t xml:space="preserve"> (izvor 116, 111, 515)</w:t>
      </w:r>
      <w:r w:rsidRPr="00F97490">
        <w:rPr>
          <w:sz w:val="24"/>
          <w:szCs w:val="24"/>
        </w:rPr>
        <w:t xml:space="preserve"> bazira se na izračunu sati rata i bruto satnice. Isti princip izračuna koristi se i za izračun prihoda za financiranje rashoda zaposlenika škole iz izvora ministarstva i jedinice lokalne samouprave (Općine Klana), koja je preuzela obvezu financiranja rada voditelja produženog boravka koji se provodi u škol</w:t>
      </w:r>
      <w:r w:rsidR="00D34479" w:rsidRPr="00F97490">
        <w:rPr>
          <w:sz w:val="24"/>
          <w:szCs w:val="24"/>
        </w:rPr>
        <w:t>i</w:t>
      </w:r>
      <w:r w:rsidRPr="00F97490">
        <w:rPr>
          <w:sz w:val="24"/>
          <w:szCs w:val="24"/>
        </w:rPr>
        <w:t xml:space="preserve"> već nekoliko godina, </w:t>
      </w:r>
      <w:r w:rsidR="00D34479" w:rsidRPr="00F97490">
        <w:rPr>
          <w:sz w:val="24"/>
          <w:szCs w:val="24"/>
        </w:rPr>
        <w:t>kao i vozača kombi vozila za prijevoz učenika nižih razreda. Unutar izvora 4411 planiraju se sredstva za podmirenje svih rashoda koji nastaju u redovnom poslovanju škole, a koji su financirani od strane Primorsko – goranske županije. Tu spadaju slijedeći prihodi i rashodi; službena putovanja zaposlenika škole, stručna usavršavanja, energija, uredski materija i ostali materijalni rashodi, usluge tekućeg održavanja zgrade, opreme i vozila, članarine, premije osiguranja, nabava sitnog inventara, zdravstvene usluge, računalne usluge, ostali nespomenuti rashodi poslovanja i drugo.</w:t>
      </w:r>
    </w:p>
    <w:p w:rsidR="00D34479" w:rsidRPr="00F97490" w:rsidRDefault="00D34479" w:rsidP="00A928BD">
      <w:pPr>
        <w:jc w:val="both"/>
        <w:rPr>
          <w:sz w:val="24"/>
          <w:szCs w:val="24"/>
        </w:rPr>
      </w:pPr>
      <w:r w:rsidRPr="00F97490">
        <w:rPr>
          <w:sz w:val="24"/>
          <w:szCs w:val="24"/>
        </w:rPr>
        <w:t>Izvor 521 (pomoći) odnosi se na izvor financiranja ministarstva i jedinice lokalne samouprave. Osim financiranja rashoda za zaposlene i prehrane učenika kao što smo prije spomenuli, ministarstvo tj. Država financira i nabavu udžbenika za učenike škole za svaku novu školsku godinu</w:t>
      </w:r>
      <w:r w:rsidR="00D9620D">
        <w:rPr>
          <w:sz w:val="24"/>
          <w:szCs w:val="24"/>
        </w:rPr>
        <w:t>. U</w:t>
      </w:r>
      <w:r w:rsidR="00E45774">
        <w:rPr>
          <w:sz w:val="24"/>
          <w:szCs w:val="24"/>
        </w:rPr>
        <w:t xml:space="preserve">jedno </w:t>
      </w:r>
      <w:r w:rsidR="00D9620D">
        <w:rPr>
          <w:sz w:val="24"/>
          <w:szCs w:val="24"/>
        </w:rPr>
        <w:t xml:space="preserve">financira i </w:t>
      </w:r>
      <w:r w:rsidR="00E45774">
        <w:rPr>
          <w:sz w:val="24"/>
          <w:szCs w:val="24"/>
        </w:rPr>
        <w:t>naknade troškova prijevoza osobama izvan radnog odnosa (TUR- roditeljima djece s teškoćama u razvoju)</w:t>
      </w:r>
      <w:r w:rsidRPr="00F97490">
        <w:rPr>
          <w:sz w:val="24"/>
          <w:szCs w:val="24"/>
        </w:rPr>
        <w:t>. Visina tih prihoda planira se na bazi učenika koji upisuju novu školsku godinu, te na bazi otpis</w:t>
      </w:r>
      <w:r w:rsidR="00F77D44" w:rsidRPr="00F97490">
        <w:rPr>
          <w:sz w:val="24"/>
          <w:szCs w:val="24"/>
        </w:rPr>
        <w:t>anih udžbe</w:t>
      </w:r>
      <w:r w:rsidRPr="00F97490">
        <w:rPr>
          <w:sz w:val="24"/>
          <w:szCs w:val="24"/>
        </w:rPr>
        <w:t>nika koji se nisu u mogućnosti koristiti narednih školskih godina</w:t>
      </w:r>
      <w:r w:rsidR="00F77D44" w:rsidRPr="00F97490">
        <w:rPr>
          <w:sz w:val="24"/>
          <w:szCs w:val="24"/>
        </w:rPr>
        <w:t>.</w:t>
      </w:r>
    </w:p>
    <w:p w:rsidR="0025502D" w:rsidRDefault="0025502D" w:rsidP="00A928BD">
      <w:pPr>
        <w:jc w:val="both"/>
        <w:rPr>
          <w:sz w:val="24"/>
          <w:szCs w:val="24"/>
        </w:rPr>
      </w:pPr>
      <w:r>
        <w:rPr>
          <w:sz w:val="24"/>
          <w:szCs w:val="24"/>
        </w:rPr>
        <w:t xml:space="preserve">Indeks planiranih i ostvarenih prihoda iznosi </w:t>
      </w:r>
      <w:r w:rsidR="00966F9D">
        <w:rPr>
          <w:sz w:val="24"/>
          <w:szCs w:val="24"/>
        </w:rPr>
        <w:t>90</w:t>
      </w:r>
      <w:r>
        <w:rPr>
          <w:sz w:val="24"/>
          <w:szCs w:val="24"/>
        </w:rPr>
        <w:t xml:space="preserve">, dok  indeks paniranih i ostvarenih rashoda iznosi </w:t>
      </w:r>
      <w:r w:rsidR="00966F9D">
        <w:rPr>
          <w:sz w:val="24"/>
          <w:szCs w:val="24"/>
        </w:rPr>
        <w:t>96</w:t>
      </w:r>
      <w:r>
        <w:rPr>
          <w:sz w:val="24"/>
          <w:szCs w:val="24"/>
        </w:rPr>
        <w:t>.</w:t>
      </w:r>
    </w:p>
    <w:p w:rsidR="000E604F" w:rsidRDefault="00837135" w:rsidP="00A928BD">
      <w:pPr>
        <w:jc w:val="both"/>
        <w:rPr>
          <w:sz w:val="24"/>
          <w:szCs w:val="24"/>
        </w:rPr>
      </w:pPr>
      <w:r>
        <w:rPr>
          <w:sz w:val="24"/>
          <w:szCs w:val="24"/>
        </w:rPr>
        <w:t>Sami pokazatelji odnosno</w:t>
      </w:r>
      <w:r w:rsidR="000E604F" w:rsidRPr="00F97490">
        <w:rPr>
          <w:sz w:val="24"/>
          <w:szCs w:val="24"/>
        </w:rPr>
        <w:t>, indeksi između planiranih i ostvarenih govore o vrlo dobroj metodi planiranja koja će se nastojati primjenjivati prilikom izrada financijskog plana</w:t>
      </w:r>
      <w:r w:rsidR="0025502D">
        <w:rPr>
          <w:sz w:val="24"/>
          <w:szCs w:val="24"/>
        </w:rPr>
        <w:t xml:space="preserve"> po svim izvorima financiranja</w:t>
      </w:r>
      <w:r w:rsidR="000E604F" w:rsidRPr="00F97490">
        <w:rPr>
          <w:sz w:val="24"/>
          <w:szCs w:val="24"/>
        </w:rPr>
        <w:t xml:space="preserve"> i za buduća razdoblja.</w:t>
      </w:r>
    </w:p>
    <w:p w:rsidR="00EA0D13" w:rsidRDefault="0073499D" w:rsidP="00A928BD">
      <w:pPr>
        <w:jc w:val="both"/>
        <w:rPr>
          <w:sz w:val="24"/>
          <w:szCs w:val="24"/>
        </w:rPr>
      </w:pPr>
      <w:r>
        <w:rPr>
          <w:sz w:val="24"/>
          <w:szCs w:val="24"/>
        </w:rPr>
        <w:tab/>
      </w:r>
    </w:p>
    <w:p w:rsidR="0073499D" w:rsidRDefault="0073499D" w:rsidP="00A928B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Voditelj računovodstva:</w:t>
      </w:r>
    </w:p>
    <w:p w:rsidR="0073499D" w:rsidRDefault="0073499D" w:rsidP="00A928B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Barbara Crnić, dipl.oec.</w:t>
      </w:r>
    </w:p>
    <w:p w:rsidR="00EA0D13" w:rsidRDefault="00EA0D13" w:rsidP="00A928BD">
      <w:pPr>
        <w:jc w:val="both"/>
        <w:rPr>
          <w:sz w:val="24"/>
          <w:szCs w:val="24"/>
        </w:rPr>
      </w:pPr>
    </w:p>
    <w:p w:rsidR="00EA0D13" w:rsidRPr="00F97490" w:rsidRDefault="00EA0D13" w:rsidP="00A928BD">
      <w:pPr>
        <w:jc w:val="both"/>
        <w:rPr>
          <w:sz w:val="24"/>
          <w:szCs w:val="24"/>
        </w:rPr>
      </w:pPr>
      <w:r>
        <w:rPr>
          <w:sz w:val="24"/>
          <w:szCs w:val="24"/>
        </w:rPr>
        <w:t xml:space="preserve">Klana, </w:t>
      </w:r>
      <w:r w:rsidR="00272C31">
        <w:rPr>
          <w:sz w:val="24"/>
          <w:szCs w:val="24"/>
        </w:rPr>
        <w:t>26</w:t>
      </w:r>
      <w:r w:rsidR="0025502D">
        <w:rPr>
          <w:sz w:val="24"/>
          <w:szCs w:val="24"/>
        </w:rPr>
        <w:t>. ožujka 202</w:t>
      </w:r>
      <w:r w:rsidR="00272C31">
        <w:rPr>
          <w:sz w:val="24"/>
          <w:szCs w:val="24"/>
        </w:rPr>
        <w:t>6</w:t>
      </w:r>
      <w:r w:rsidR="0025502D">
        <w:rPr>
          <w:sz w:val="24"/>
          <w:szCs w:val="24"/>
        </w:rPr>
        <w:t>.</w:t>
      </w:r>
    </w:p>
    <w:sectPr w:rsidR="00EA0D13" w:rsidRPr="00F97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2F58"/>
    <w:multiLevelType w:val="hybridMultilevel"/>
    <w:tmpl w:val="832E1ACC"/>
    <w:lvl w:ilvl="0" w:tplc="9CEA3996">
      <w:start w:val="3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24445B"/>
    <w:multiLevelType w:val="hybridMultilevel"/>
    <w:tmpl w:val="78C24C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BD"/>
    <w:rsid w:val="0003629C"/>
    <w:rsid w:val="000738A6"/>
    <w:rsid w:val="000E604F"/>
    <w:rsid w:val="000F2DC7"/>
    <w:rsid w:val="0010475C"/>
    <w:rsid w:val="00104EF3"/>
    <w:rsid w:val="001215B0"/>
    <w:rsid w:val="00123AF7"/>
    <w:rsid w:val="00152525"/>
    <w:rsid w:val="00173DAE"/>
    <w:rsid w:val="0025502D"/>
    <w:rsid w:val="00263509"/>
    <w:rsid w:val="00272C31"/>
    <w:rsid w:val="002B52D5"/>
    <w:rsid w:val="002C2A36"/>
    <w:rsid w:val="002C68C5"/>
    <w:rsid w:val="002E7031"/>
    <w:rsid w:val="00372089"/>
    <w:rsid w:val="003869DF"/>
    <w:rsid w:val="003C646C"/>
    <w:rsid w:val="003E3A25"/>
    <w:rsid w:val="0042027B"/>
    <w:rsid w:val="00423AB5"/>
    <w:rsid w:val="0050524C"/>
    <w:rsid w:val="00547C88"/>
    <w:rsid w:val="005507FB"/>
    <w:rsid w:val="005A0CAC"/>
    <w:rsid w:val="005A4664"/>
    <w:rsid w:val="005B42B0"/>
    <w:rsid w:val="005D78EF"/>
    <w:rsid w:val="00655559"/>
    <w:rsid w:val="006724C2"/>
    <w:rsid w:val="006B397E"/>
    <w:rsid w:val="006E3A62"/>
    <w:rsid w:val="0073499D"/>
    <w:rsid w:val="007A7014"/>
    <w:rsid w:val="007D31A5"/>
    <w:rsid w:val="00805E7B"/>
    <w:rsid w:val="00824AE4"/>
    <w:rsid w:val="00837135"/>
    <w:rsid w:val="00871F28"/>
    <w:rsid w:val="008D17ED"/>
    <w:rsid w:val="008E5F12"/>
    <w:rsid w:val="0093538B"/>
    <w:rsid w:val="00956B90"/>
    <w:rsid w:val="00966F9D"/>
    <w:rsid w:val="00A01609"/>
    <w:rsid w:val="00A673E2"/>
    <w:rsid w:val="00A8462A"/>
    <w:rsid w:val="00A8587D"/>
    <w:rsid w:val="00A928BD"/>
    <w:rsid w:val="00B406ED"/>
    <w:rsid w:val="00B52C04"/>
    <w:rsid w:val="00B65E97"/>
    <w:rsid w:val="00B95E57"/>
    <w:rsid w:val="00C47021"/>
    <w:rsid w:val="00C4796A"/>
    <w:rsid w:val="00C61A30"/>
    <w:rsid w:val="00C705B1"/>
    <w:rsid w:val="00CC1527"/>
    <w:rsid w:val="00CE11A0"/>
    <w:rsid w:val="00D34479"/>
    <w:rsid w:val="00D34C6A"/>
    <w:rsid w:val="00D65AAE"/>
    <w:rsid w:val="00D9620D"/>
    <w:rsid w:val="00DD3E4E"/>
    <w:rsid w:val="00DD7651"/>
    <w:rsid w:val="00DF0A38"/>
    <w:rsid w:val="00E45774"/>
    <w:rsid w:val="00EA0D13"/>
    <w:rsid w:val="00EA17DC"/>
    <w:rsid w:val="00F77D44"/>
    <w:rsid w:val="00F974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1AF2"/>
  <w15:chartTrackingRefBased/>
  <w15:docId w15:val="{93A7E059-DF8D-4B68-9FD7-55485D6B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EF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20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1401</Words>
  <Characters>7986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Korisnik</cp:lastModifiedBy>
  <cp:revision>61</cp:revision>
  <dcterms:created xsi:type="dcterms:W3CDTF">2024-04-08T05:48:00Z</dcterms:created>
  <dcterms:modified xsi:type="dcterms:W3CDTF">2026-03-26T12:13:00Z</dcterms:modified>
</cp:coreProperties>
</file>